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FD8BC79" w14:textId="77777777" w:rsidTr="0041512A">
        <w:tc>
          <w:tcPr>
            <w:tcW w:w="2263" w:type="dxa"/>
          </w:tcPr>
          <w:p w14:paraId="03F11BEA" w14:textId="15C54812" w:rsidR="0041512A" w:rsidRDefault="00125456" w:rsidP="0041512A">
            <w:pPr>
              <w:spacing w:before="120" w:after="120"/>
            </w:pPr>
            <w:r>
              <w:fldChar w:fldCharType="begin"/>
            </w:r>
            <w:r w:rsidR="00D90004">
              <w:instrText>HYPERLINK "../PROCEDIMENTI.docx"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53C89D99" w14:textId="77777777" w:rsidR="0041512A" w:rsidRDefault="00E96861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Sal</w:t>
            </w:r>
            <w:r w:rsidR="0012159E">
              <w:rPr>
                <w:b/>
                <w:color w:val="006600"/>
                <w:sz w:val="40"/>
                <w:szCs w:val="40"/>
                <w:u w:val="none"/>
              </w:rPr>
              <w:t>a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 xml:space="preserve"> </w:t>
            </w:r>
            <w:r w:rsidR="0012159E">
              <w:rPr>
                <w:b/>
                <w:color w:val="006600"/>
                <w:sz w:val="40"/>
                <w:szCs w:val="40"/>
                <w:u w:val="none"/>
              </w:rPr>
              <w:t>da ballo - discoteca</w:t>
            </w:r>
          </w:p>
        </w:tc>
        <w:tc>
          <w:tcPr>
            <w:tcW w:w="1979" w:type="dxa"/>
          </w:tcPr>
          <w:p w14:paraId="5252DC42" w14:textId="3CF4EC7E" w:rsidR="0041512A" w:rsidRPr="0041512A" w:rsidRDefault="0095484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B51033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64A581F" w14:textId="77777777" w:rsidTr="0041512A">
        <w:tc>
          <w:tcPr>
            <w:tcW w:w="9629" w:type="dxa"/>
            <w:gridSpan w:val="3"/>
          </w:tcPr>
          <w:p w14:paraId="48C34865" w14:textId="754460B7" w:rsidR="00F33A15" w:rsidRPr="00BB2B3F" w:rsidRDefault="00BB2B3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B2B3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6BD2DC0" w14:textId="77777777" w:rsidR="0012159E" w:rsidRPr="00EB3F24" w:rsidRDefault="0012159E" w:rsidP="0012159E">
            <w:pPr>
              <w:spacing w:before="120"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B3F24">
              <w:rPr>
                <w:color w:val="auto"/>
                <w:sz w:val="20"/>
                <w:szCs w:val="20"/>
                <w:u w:val="none"/>
              </w:rPr>
              <w:t xml:space="preserve">La </w:t>
            </w:r>
            <w:r w:rsidRPr="00EB3F24">
              <w:rPr>
                <w:b/>
                <w:bCs/>
                <w:color w:val="auto"/>
                <w:sz w:val="20"/>
                <w:szCs w:val="20"/>
                <w:u w:val="none"/>
              </w:rPr>
              <w:t>discoteca</w:t>
            </w:r>
            <w:r w:rsidRPr="00EB3F24">
              <w:rPr>
                <w:color w:val="auto"/>
                <w:sz w:val="20"/>
                <w:szCs w:val="20"/>
                <w:u w:val="none"/>
              </w:rPr>
              <w:t xml:space="preserve">, o </w:t>
            </w:r>
            <w:r w:rsidRPr="00EB3F24">
              <w:rPr>
                <w:b/>
                <w:bCs/>
                <w:color w:val="auto"/>
                <w:sz w:val="20"/>
                <w:szCs w:val="20"/>
                <w:u w:val="none"/>
              </w:rPr>
              <w:t>sala da ballo</w:t>
            </w:r>
            <w:r w:rsidRPr="00EB3F24">
              <w:rPr>
                <w:color w:val="auto"/>
                <w:sz w:val="20"/>
                <w:szCs w:val="20"/>
                <w:u w:val="none"/>
              </w:rPr>
              <w:t>, è un locale di pubblico spettacolo aperto al pubblico e principalmente destinato a intrattenimenti danzanti, dove si offre produzione di carattere artistico-musicale, dietro il pagamento di un corrispettivo. È un luogo di ritrovo e d'incontro per giovani e meno giovani ed è considerata l'evoluzione della vecchia balera. La discoteca è spesso rappresentata da musica alta e molta gente che creano un'atmosfera molto vivace.</w:t>
            </w:r>
          </w:p>
          <w:p w14:paraId="2290D72C" w14:textId="77777777" w:rsidR="0012159E" w:rsidRPr="00E66880" w:rsidRDefault="0012159E" w:rsidP="0012159E">
            <w:pPr>
              <w:pStyle w:val="NormaleWeb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La </w:t>
            </w:r>
            <w:r w:rsidRPr="00E6688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balera</w:t>
            </w:r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è un </w:t>
            </w:r>
            <w:hyperlink r:id="rId6" w:tooltip="Locale di pubblico spettacolo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locale da ballo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italiano, tendenzialmente orientato verso un </w:t>
            </w:r>
            <w:hyperlink r:id="rId7" w:tooltip="Pubblico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pubblico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di </w:t>
            </w:r>
            <w:hyperlink r:id="rId8" w:tooltip="Popolo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estrazione popolare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. Molto diffusa nell'</w:t>
            </w:r>
            <w:hyperlink r:id="rId9" w:tooltip="Italia del Nord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Italia del Nord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la balera si caratterizza spiccatamente per il tipo di </w:t>
            </w:r>
            <w:hyperlink r:id="rId10" w:tooltip="Musica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musica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che in essa si suona e balla: dal </w:t>
            </w:r>
            <w:hyperlink r:id="rId11" w:tooltip="Tango" w:history="1">
              <w:r w:rsidRPr="00E66880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tango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a tutte le tipologie di ballo cosiddetto </w:t>
            </w:r>
            <w:hyperlink r:id="rId12" w:tooltip="Ballo" w:history="1">
              <w:r w:rsidRPr="00E66880">
                <w:rPr>
                  <w:rStyle w:val="Collegamentoipertestuale"/>
                  <w:rFonts w:ascii="Arial" w:hAnsi="Arial" w:cs="Arial"/>
                  <w:iCs/>
                  <w:color w:val="auto"/>
                  <w:sz w:val="20"/>
                  <w:szCs w:val="20"/>
                  <w:u w:val="none"/>
                </w:rPr>
                <w:t>liscio</w:t>
              </w:r>
            </w:hyperlink>
            <w:r w:rsidRPr="00E6688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rigorosamente da eseguire in coppia. </w:t>
            </w:r>
          </w:p>
          <w:p w14:paraId="299B8435" w14:textId="2C9D568D" w:rsidR="00651349" w:rsidRPr="00BB2B3F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91DAA19" w14:textId="77777777" w:rsidR="00BB2B3F" w:rsidRPr="00AB4C12" w:rsidRDefault="00BB2B3F" w:rsidP="00BB2B3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2137179" w14:textId="71244931" w:rsidR="00BB2B3F" w:rsidRPr="002F4FA6" w:rsidRDefault="002F4FA6" w:rsidP="00BB2B3F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954849">
              <w:rPr>
                <w:b/>
                <w:sz w:val="24"/>
                <w:szCs w:val="24"/>
              </w:rPr>
              <w:instrText>HYPERLINK "../../PROGRAMMAZIONE/AREE.docx"</w:instrText>
            </w:r>
            <w:r w:rsidR="00954849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2B3F" w:rsidRPr="002F4FA6">
              <w:rPr>
                <w:rStyle w:val="Collegamentoipertestuale"/>
                <w:b/>
                <w:sz w:val="24"/>
                <w:szCs w:val="24"/>
              </w:rPr>
              <w:t>Programmazione economic</w:t>
            </w:r>
            <w:r w:rsidR="00BB2B3F" w:rsidRPr="002F4FA6">
              <w:rPr>
                <w:rStyle w:val="Collegamentoipertestuale"/>
                <w:b/>
                <w:sz w:val="24"/>
                <w:szCs w:val="24"/>
              </w:rPr>
              <w:t>a</w:t>
            </w:r>
            <w:r w:rsidR="00BB2B3F" w:rsidRPr="002F4FA6">
              <w:rPr>
                <w:rStyle w:val="Collegamentoipertestuale"/>
                <w:b/>
                <w:sz w:val="24"/>
                <w:szCs w:val="24"/>
              </w:rPr>
              <w:t>-commerciale del PGT</w:t>
            </w:r>
          </w:p>
          <w:p w14:paraId="1EF51A7B" w14:textId="7FE4CB4B" w:rsidR="00BB2B3F" w:rsidRPr="0031611B" w:rsidRDefault="002F4FA6" w:rsidP="00BB2B3F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C05AD43" w14:textId="6436FF0D" w:rsidR="00BB2B3F" w:rsidRPr="000A1FBF" w:rsidRDefault="00BB2B3F" w:rsidP="00BB2B3F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F4FA6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0D4AF3E" w14:textId="77777777" w:rsidR="00BB2B3F" w:rsidRPr="00F73D96" w:rsidRDefault="00BB2B3F" w:rsidP="00BB2B3F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A53B770" w14:textId="76B77CD5" w:rsidR="00BB2B3F" w:rsidRPr="00720A14" w:rsidRDefault="00BB2B3F" w:rsidP="00BB2B3F">
            <w:pPr>
              <w:pStyle w:val="Paragrafoelenco"/>
              <w:numPr>
                <w:ilvl w:val="0"/>
                <w:numId w:val="19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2F4FA6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38B11C54" w14:textId="77777777" w:rsidR="00BB2B3F" w:rsidRPr="0031611B" w:rsidRDefault="00BB2B3F" w:rsidP="00BB2B3F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7D9897C8" w14:textId="54065359" w:rsidR="00BB2B3F" w:rsidRPr="0031611B" w:rsidRDefault="00BB2B3F" w:rsidP="00BB2B3F">
            <w:pPr>
              <w:pStyle w:val="Paragrafoelenco"/>
              <w:numPr>
                <w:ilvl w:val="0"/>
                <w:numId w:val="19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F4FA6">
              <w:rPr>
                <w:b/>
                <w:sz w:val="24"/>
                <w:szCs w:val="24"/>
              </w:rPr>
              <w:instrText>HYPERLINK "Definizioni/4PA%20Sorvegliabilità.pdf"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6203C89E" w14:textId="77777777" w:rsidR="00BB2B3F" w:rsidRPr="0031611B" w:rsidRDefault="00BB2B3F" w:rsidP="00BB2B3F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6344411" w14:textId="4B0ADF66" w:rsidR="00BB2B3F" w:rsidRPr="00F73D96" w:rsidRDefault="00954849" w:rsidP="00BB2B3F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3" w:history="1">
              <w:r w:rsidR="00BB2B3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5E2424E1" w14:textId="77777777" w:rsidR="00BB2B3F" w:rsidRPr="006B7CA3" w:rsidRDefault="00BB2B3F" w:rsidP="00BB2B3F">
            <w:pPr>
              <w:pStyle w:val="Paragrafoelenco"/>
              <w:rPr>
                <w:sz w:val="12"/>
                <w:szCs w:val="12"/>
              </w:rPr>
            </w:pPr>
          </w:p>
          <w:p w14:paraId="2BA7AA60" w14:textId="22388857" w:rsidR="00BB2B3F" w:rsidRPr="002F4FA6" w:rsidRDefault="00BB2B3F" w:rsidP="00BB2B3F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D9000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D90004" w:rsidRPr="00D9000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D9000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 w:rsidR="002F4FA6">
              <w:rPr>
                <w:b/>
                <w:sz w:val="20"/>
                <w:szCs w:val="20"/>
              </w:rPr>
              <w:fldChar w:fldCharType="begin"/>
            </w:r>
            <w:r w:rsidR="002F4FA6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2F4FA6">
              <w:rPr>
                <w:b/>
                <w:sz w:val="20"/>
                <w:szCs w:val="20"/>
              </w:rPr>
              <w:fldChar w:fldCharType="separate"/>
            </w:r>
            <w:r w:rsidRPr="002F4FA6">
              <w:rPr>
                <w:rStyle w:val="Collegamentoipertestuale"/>
                <w:b/>
                <w:sz w:val="20"/>
                <w:szCs w:val="20"/>
              </w:rPr>
              <w:t>Modulo</w:t>
            </w:r>
          </w:p>
          <w:p w14:paraId="5A3FE829" w14:textId="1988F57D" w:rsidR="00BB2B3F" w:rsidRPr="00BB2B3F" w:rsidRDefault="002F4FA6" w:rsidP="00BB2B3F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4E2BBB32" w14:textId="6F95A151" w:rsidR="00651349" w:rsidRPr="00D41AFD" w:rsidRDefault="002B6C24" w:rsidP="002B6C2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D41AFD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7EB9541D" w14:textId="13F6B11B" w:rsidR="0012159E" w:rsidRPr="0012159E" w:rsidRDefault="0012159E" w:rsidP="0012159E">
            <w:pPr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2159E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Per attivare professionalmente una sala da ballo o discoteca si deve ottenere l’apposita licenza, prevista dall’art. 68 del TULPS, la quale è subordinata al Nulla Osta di agibilità da parte </w:t>
            </w:r>
            <w:r w:rsidRPr="00BC5FD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della   </w:t>
            </w:r>
            <w:r w:rsidRPr="00BB2B3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Pr="00BB2B3F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12159E"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alla quale può essere richiesto un </w:t>
            </w:r>
            <w:hyperlink r:id="rId14" w:history="1">
              <w:r w:rsidRPr="00BB2B3F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 xml:space="preserve">parere preventivo di ammissibilità </w:t>
              </w:r>
            </w:hyperlink>
            <w:r w:rsidRPr="0012159E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del progetto</w:t>
            </w:r>
            <w:r w:rsidRPr="0012159E"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ed a verifica della corretta esecuzione progettuale seguirà il rilascio del Nulla Osta di agibilità. </w:t>
            </w:r>
          </w:p>
          <w:p w14:paraId="26DCCC68" w14:textId="77777777" w:rsidR="0012159E" w:rsidRPr="0012159E" w:rsidRDefault="0012159E" w:rsidP="0012159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2159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Detto parere preventivo è necessario anche per gli allestimenti temporanei o stagionali.</w:t>
            </w:r>
          </w:p>
          <w:p w14:paraId="7F9A6C99" w14:textId="4284BDE7" w:rsidR="0012159E" w:rsidRPr="0012159E" w:rsidRDefault="0012159E" w:rsidP="0012159E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7B017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A nulla osta acquisito</w:t>
            </w:r>
            <w:r w:rsidRPr="0012159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l’inizio dell’attività è soggetta a presentazione dell’</w:t>
            </w:r>
            <w:r w:rsidRPr="0012159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12159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</w:t>
            </w:r>
            <w:r w:rsidRPr="0012159E">
              <w:rPr>
                <w:color w:val="auto"/>
                <w:sz w:val="20"/>
                <w:szCs w:val="20"/>
                <w:u w:val="none"/>
              </w:rPr>
              <w:t>lo sportello telematico</w:t>
            </w:r>
            <w:r w:rsidRPr="0012159E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hyperlink r:id="rId15" w:history="1">
              <w:r w:rsidR="00582852" w:rsidRPr="00582852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Impresainungiorno.gov.it </w:t>
              </w:r>
              <w:r w:rsidR="00582852">
                <w:rPr>
                  <w:rStyle w:val="Collegamentoipertestuale"/>
                  <w:color w:val="auto"/>
                  <w:u w:val="none"/>
                </w:rPr>
                <w:t xml:space="preserve">  </w:t>
              </w:r>
            </w:hyperlink>
          </w:p>
          <w:p w14:paraId="624519F9" w14:textId="24E35CEE" w:rsidR="0012159E" w:rsidRPr="0012159E" w:rsidRDefault="0012159E" w:rsidP="0012159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2159E">
              <w:rPr>
                <w:color w:val="auto"/>
                <w:sz w:val="20"/>
                <w:szCs w:val="20"/>
                <w:u w:val="none"/>
              </w:rPr>
              <w:t>Ad accesso avvenuto, procedere selezionando</w:t>
            </w:r>
            <w:r w:rsidR="007B0177">
              <w:rPr>
                <w:color w:val="auto"/>
                <w:sz w:val="20"/>
                <w:szCs w:val="20"/>
                <w:u w:val="none"/>
              </w:rPr>
              <w:t xml:space="preserve">: </w:t>
            </w:r>
            <w:r w:rsidR="005B7B49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Pr="0012159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A522FF">
              <w:rPr>
                <w:b/>
                <w:color w:val="auto"/>
                <w:sz w:val="20"/>
                <w:szCs w:val="20"/>
                <w:u w:val="none"/>
              </w:rPr>
              <w:t xml:space="preserve">(Ateco da 90 a 93) </w:t>
            </w:r>
            <w:r w:rsidRPr="0012159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9509D6">
              <w:rPr>
                <w:b/>
                <w:color w:val="auto"/>
                <w:sz w:val="20"/>
                <w:szCs w:val="20"/>
                <w:u w:val="none"/>
              </w:rPr>
              <w:t>Altre attività del settore</w:t>
            </w:r>
            <w:r w:rsidR="005B7B4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2159E">
              <w:rPr>
                <w:b/>
                <w:color w:val="auto"/>
                <w:sz w:val="20"/>
                <w:szCs w:val="20"/>
                <w:u w:val="none"/>
              </w:rPr>
              <w:t xml:space="preserve">+ Sale da Ballo, discoteche, trattenimenti danzanti, </w:t>
            </w:r>
            <w:r w:rsidRPr="0012159E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12159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2159E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Pr="0012159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2159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12159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12159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00250FB" w14:textId="168D357D" w:rsidR="0012159E" w:rsidRPr="002F4FA6" w:rsidRDefault="0012159E" w:rsidP="00A522FF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12159E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indicazioni:</w:t>
            </w:r>
            <w:r w:rsidRPr="0012159E">
              <w:rPr>
                <w:sz w:val="20"/>
                <w:szCs w:val="20"/>
                <w:u w:val="none"/>
              </w:rPr>
              <w:t xml:space="preserve"> </w:t>
            </w:r>
            <w:r w:rsidR="002F4FA6">
              <w:rPr>
                <w:b/>
                <w:sz w:val="20"/>
                <w:szCs w:val="20"/>
              </w:rPr>
              <w:fldChar w:fldCharType="begin"/>
            </w:r>
            <w:r w:rsidR="002F4FA6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2F4FA6">
              <w:rPr>
                <w:b/>
                <w:sz w:val="20"/>
                <w:szCs w:val="20"/>
              </w:rPr>
              <w:fldChar w:fldCharType="separate"/>
            </w:r>
            <w:r w:rsidRPr="002F4FA6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75F6A6AA" w14:textId="5D6EEB47" w:rsidR="007B0177" w:rsidRPr="0056509F" w:rsidRDefault="002F4FA6" w:rsidP="00724F51">
            <w:pPr>
              <w:spacing w:before="3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7B0177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7B0177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="007B0177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 w:rsidR="007B017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7B0177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 w:rsidR="007B017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7B0177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6" w:history="1">
              <w:r w:rsidR="007B0177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7B0177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7B0177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7B0177" w:rsidRPr="0016697F">
                <w:rPr>
                  <w:rStyle w:val="Collegamentoipertestuale"/>
                  <w:u w:val="none"/>
                </w:rPr>
                <w:t xml:space="preserve"> </w:t>
              </w:r>
              <w:r w:rsidR="007B0177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7B0177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7B0177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7B0177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264C21E" w14:textId="23258342" w:rsidR="007B0177" w:rsidRDefault="007B0177" w:rsidP="007B017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7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3E77C434" w14:textId="77777777" w:rsidR="007B0177" w:rsidRPr="002F3FF3" w:rsidRDefault="007B0177" w:rsidP="007B017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033B8B41" w14:textId="73AF825D" w:rsidR="00724F51" w:rsidRPr="00631314" w:rsidRDefault="00631314" w:rsidP="007B0177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FD3046">
              <w:rPr>
                <w:b/>
                <w:bCs/>
              </w:rPr>
              <w:instrText>HYPERLINK "Allegati/PA11-12-13-14-15-16-17%20Agibilità%20pubblici%20spettacoli.pdf"</w:instrText>
            </w:r>
            <w:r>
              <w:rPr>
                <w:b/>
                <w:bCs/>
              </w:rPr>
              <w:fldChar w:fldCharType="separate"/>
            </w:r>
            <w:r w:rsidR="00724F51" w:rsidRPr="00631314">
              <w:rPr>
                <w:rStyle w:val="Collegamentoipertestuale"/>
                <w:b/>
                <w:bCs/>
              </w:rPr>
              <w:t>Alle</w:t>
            </w:r>
            <w:r w:rsidR="00724F51" w:rsidRPr="00631314">
              <w:rPr>
                <w:rStyle w:val="Collegamentoipertestuale"/>
                <w:b/>
                <w:bCs/>
              </w:rPr>
              <w:t>g</w:t>
            </w:r>
            <w:r w:rsidR="00724F51" w:rsidRPr="00631314">
              <w:rPr>
                <w:rStyle w:val="Collegamentoipertestuale"/>
                <w:b/>
                <w:bCs/>
              </w:rPr>
              <w:t>ati</w:t>
            </w:r>
          </w:p>
          <w:p w14:paraId="2A76EFC2" w14:textId="15A0F0CB" w:rsidR="00724F51" w:rsidRDefault="00631314" w:rsidP="007B0177">
            <w:pPr>
              <w:ind w:left="164" w:right="312"/>
              <w:jc w:val="both"/>
            </w:pPr>
            <w:r>
              <w:rPr>
                <w:b/>
                <w:bCs/>
              </w:rPr>
              <w:fldChar w:fldCharType="end"/>
            </w:r>
          </w:p>
          <w:p w14:paraId="13AEC76D" w14:textId="085E7338" w:rsidR="007B0177" w:rsidRPr="00744B7C" w:rsidRDefault="00954849" w:rsidP="007B017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8" w:history="1">
              <w:r w:rsidR="007B017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7B0177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A522FF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33254D7B" w14:textId="77777777" w:rsidR="007B0177" w:rsidRDefault="007B0177" w:rsidP="007B017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5F4215F" w14:textId="77777777" w:rsidR="00724F51" w:rsidRDefault="00724F51" w:rsidP="00724F5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E284900" w14:textId="77777777" w:rsidR="00724F51" w:rsidRDefault="00724F51" w:rsidP="00724F51">
            <w:pPr>
              <w:spacing w:after="120"/>
              <w:ind w:left="164" w:right="312"/>
              <w:jc w:val="both"/>
              <w:rPr>
                <w:rStyle w:val="Collegamentoipertestuale"/>
                <w:bCs/>
                <w:color w:val="C00000"/>
              </w:rPr>
            </w:pPr>
          </w:p>
          <w:p w14:paraId="6DA56416" w14:textId="54A35E7A" w:rsidR="00724F51" w:rsidRPr="00A960D3" w:rsidRDefault="00724F51" w:rsidP="00724F5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5484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 w:rsidR="00954849">
              <w:rPr>
                <w:rStyle w:val="Collegamentoipertestuale"/>
                <w:b/>
                <w:bCs/>
                <w:color w:val="C00000"/>
                <w:u w:val="none"/>
              </w:rPr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>ne</w:t>
            </w:r>
            <w:r w:rsidRPr="00AB4C12">
              <w:rPr>
                <w:rStyle w:val="Collegamentoipertestuale"/>
                <w:b/>
              </w:rPr>
              <w:t>r</w:t>
            </w:r>
            <w:r w:rsidRPr="00AB4C12">
              <w:rPr>
                <w:rStyle w:val="Collegamentoipertestuale"/>
                <w:b/>
              </w:rPr>
              <w:t xml:space="preserve">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7CFD98FF" w14:textId="77777777" w:rsidR="00724F51" w:rsidRPr="007B1A96" w:rsidRDefault="00724F51" w:rsidP="00724F51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27E37C54" w14:textId="77777777" w:rsidR="00724F51" w:rsidRPr="00065666" w:rsidRDefault="00724F51" w:rsidP="00724F5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5D256892" w14:textId="668F4B5A" w:rsidR="00724F51" w:rsidRDefault="00724F51" w:rsidP="00724F51">
            <w:pPr>
              <w:pStyle w:val="Paragrafoelenco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 w:rsidR="00FD3046">
              <w:rPr>
                <w:b/>
                <w:color w:val="C00000"/>
              </w:rPr>
              <w:instrText>HYPERLINK "Definizioni/21PA%20Tempistica%20CCVLPS.pdf"</w:instrText>
            </w:r>
            <w:r>
              <w:rPr>
                <w:b/>
                <w:color w:val="C00000"/>
              </w:rPr>
              <w:fldChar w:fldCharType="separate"/>
            </w:r>
            <w:r w:rsidRPr="00751C4B">
              <w:rPr>
                <w:rStyle w:val="Collegamentoipertestuale"/>
                <w:b/>
              </w:rPr>
              <w:t>Tempis</w:t>
            </w:r>
            <w:r w:rsidRPr="00751C4B">
              <w:rPr>
                <w:rStyle w:val="Collegamentoipertestuale"/>
                <w:b/>
              </w:rPr>
              <w:t>t</w:t>
            </w:r>
            <w:r w:rsidRPr="00751C4B">
              <w:rPr>
                <w:rStyle w:val="Collegamentoipertestuale"/>
                <w:b/>
              </w:rPr>
              <w:t>ic</w:t>
            </w:r>
            <w:r>
              <w:rPr>
                <w:rStyle w:val="Collegamentoipertestuale"/>
                <w:b/>
              </w:rPr>
              <w:t>a CCVLPS</w:t>
            </w:r>
            <w:r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bookmarkEnd w:id="0"/>
          <w:p w14:paraId="7B5A2C2F" w14:textId="77777777" w:rsidR="00724F51" w:rsidRDefault="00724F51" w:rsidP="00A522FF">
            <w:pPr>
              <w:pStyle w:val="Rientrocorpodeltesto"/>
              <w:spacing w:after="0"/>
              <w:ind w:left="164"/>
              <w:jc w:val="both"/>
            </w:pPr>
          </w:p>
          <w:p w14:paraId="506A288A" w14:textId="306ED8C8" w:rsidR="00C52B2D" w:rsidRPr="00945B26" w:rsidRDefault="00954849" w:rsidP="00C52B2D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9" w:history="1">
              <w:r w:rsidR="00A522FF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A522FF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A522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522F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522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D90004" w:rsidRPr="009D241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D90004" w:rsidRPr="009D241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D90004" w:rsidRPr="009D241B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D90004" w:rsidRPr="00945B26">
              <w:rPr>
                <w:color w:val="0000FF"/>
                <w:sz w:val="20"/>
                <w:szCs w:val="20"/>
              </w:rPr>
              <w:t xml:space="preserve"> </w:t>
            </w:r>
            <w:r w:rsidR="00C52B2D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C52B2D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61AD568" w14:textId="13A20EDA" w:rsidR="00A522FF" w:rsidRPr="00A522FF" w:rsidRDefault="00A522FF" w:rsidP="00A522FF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0CA05BFA" w14:textId="77777777" w:rsidR="00A522FF" w:rsidRPr="0090382A" w:rsidRDefault="00A522FF" w:rsidP="00A522FF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6E524C69" w14:textId="7EF53552" w:rsidR="00276654" w:rsidRPr="0041512A" w:rsidRDefault="00A522FF" w:rsidP="00A522FF">
            <w:pPr>
              <w:pStyle w:val="Paragrafoelenco"/>
              <w:tabs>
                <w:tab w:val="left" w:pos="731"/>
              </w:tabs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21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</w:tc>
      </w:tr>
    </w:tbl>
    <w:p w14:paraId="4D238064" w14:textId="77777777" w:rsidR="00342D58" w:rsidRDefault="00342D58">
      <w:pPr>
        <w:rPr>
          <w:b/>
        </w:rPr>
      </w:pPr>
    </w:p>
    <w:p w14:paraId="66016214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8B9A125A"/>
    <w:lvl w:ilvl="0" w:tplc="61EC31C6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71E7E"/>
    <w:rsid w:val="000E4B7E"/>
    <w:rsid w:val="000F3ADF"/>
    <w:rsid w:val="00112873"/>
    <w:rsid w:val="00117F1E"/>
    <w:rsid w:val="0012159E"/>
    <w:rsid w:val="00125456"/>
    <w:rsid w:val="00162DB2"/>
    <w:rsid w:val="002210DE"/>
    <w:rsid w:val="0023487B"/>
    <w:rsid w:val="00237016"/>
    <w:rsid w:val="00276654"/>
    <w:rsid w:val="002A5D7C"/>
    <w:rsid w:val="002A6285"/>
    <w:rsid w:val="002B375D"/>
    <w:rsid w:val="002B6C24"/>
    <w:rsid w:val="002F4FA6"/>
    <w:rsid w:val="00310F61"/>
    <w:rsid w:val="00342D58"/>
    <w:rsid w:val="00374604"/>
    <w:rsid w:val="003A4A32"/>
    <w:rsid w:val="003C5FBA"/>
    <w:rsid w:val="0041512A"/>
    <w:rsid w:val="004257E1"/>
    <w:rsid w:val="0044342C"/>
    <w:rsid w:val="0045341A"/>
    <w:rsid w:val="004704B5"/>
    <w:rsid w:val="00493BD0"/>
    <w:rsid w:val="004B3C68"/>
    <w:rsid w:val="004F3CF0"/>
    <w:rsid w:val="004F59C5"/>
    <w:rsid w:val="004F667B"/>
    <w:rsid w:val="00506E58"/>
    <w:rsid w:val="00582852"/>
    <w:rsid w:val="005930C1"/>
    <w:rsid w:val="005B4D2A"/>
    <w:rsid w:val="005B7B49"/>
    <w:rsid w:val="005C01FD"/>
    <w:rsid w:val="005C68B2"/>
    <w:rsid w:val="005C720B"/>
    <w:rsid w:val="005C7B1C"/>
    <w:rsid w:val="005E5880"/>
    <w:rsid w:val="00621A5C"/>
    <w:rsid w:val="00621E64"/>
    <w:rsid w:val="00631314"/>
    <w:rsid w:val="00640813"/>
    <w:rsid w:val="00651349"/>
    <w:rsid w:val="00651378"/>
    <w:rsid w:val="006866B8"/>
    <w:rsid w:val="00692827"/>
    <w:rsid w:val="00694BB5"/>
    <w:rsid w:val="006B29D2"/>
    <w:rsid w:val="006B3A13"/>
    <w:rsid w:val="006C7151"/>
    <w:rsid w:val="006E08B5"/>
    <w:rsid w:val="006E2A43"/>
    <w:rsid w:val="006F2F1B"/>
    <w:rsid w:val="00705665"/>
    <w:rsid w:val="00714EBD"/>
    <w:rsid w:val="00724F51"/>
    <w:rsid w:val="00737DA2"/>
    <w:rsid w:val="00746376"/>
    <w:rsid w:val="00750A2E"/>
    <w:rsid w:val="00757EC8"/>
    <w:rsid w:val="007B0177"/>
    <w:rsid w:val="0082478D"/>
    <w:rsid w:val="008756FA"/>
    <w:rsid w:val="00897F79"/>
    <w:rsid w:val="009025A0"/>
    <w:rsid w:val="0090382A"/>
    <w:rsid w:val="00941C27"/>
    <w:rsid w:val="00945B26"/>
    <w:rsid w:val="009509D6"/>
    <w:rsid w:val="00954849"/>
    <w:rsid w:val="009A4645"/>
    <w:rsid w:val="009C0F33"/>
    <w:rsid w:val="009D00A5"/>
    <w:rsid w:val="00A06B50"/>
    <w:rsid w:val="00A123BB"/>
    <w:rsid w:val="00A4472A"/>
    <w:rsid w:val="00A522FF"/>
    <w:rsid w:val="00AF615B"/>
    <w:rsid w:val="00B0731C"/>
    <w:rsid w:val="00B51033"/>
    <w:rsid w:val="00B66F7C"/>
    <w:rsid w:val="00BB2B3F"/>
    <w:rsid w:val="00BC5FD4"/>
    <w:rsid w:val="00BF42AE"/>
    <w:rsid w:val="00C459E8"/>
    <w:rsid w:val="00C52B2D"/>
    <w:rsid w:val="00C75D34"/>
    <w:rsid w:val="00CD592E"/>
    <w:rsid w:val="00CE16FB"/>
    <w:rsid w:val="00CF2C56"/>
    <w:rsid w:val="00D16B5E"/>
    <w:rsid w:val="00D41AFD"/>
    <w:rsid w:val="00D5625E"/>
    <w:rsid w:val="00D90004"/>
    <w:rsid w:val="00DC5DC3"/>
    <w:rsid w:val="00DF0435"/>
    <w:rsid w:val="00E25843"/>
    <w:rsid w:val="00E36AE9"/>
    <w:rsid w:val="00E5314E"/>
    <w:rsid w:val="00E61C9E"/>
    <w:rsid w:val="00E660BB"/>
    <w:rsid w:val="00E96861"/>
    <w:rsid w:val="00EA0014"/>
    <w:rsid w:val="00EB1403"/>
    <w:rsid w:val="00EE371A"/>
    <w:rsid w:val="00F07CBF"/>
    <w:rsid w:val="00F2381A"/>
    <w:rsid w:val="00F312D0"/>
    <w:rsid w:val="00F33A15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B84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opolo" TargetMode="External"/><Relationship Id="rId13" Type="http://schemas.openxmlformats.org/officeDocument/2006/relationships/hyperlink" Target="../../INCENDIO/PREVENZIONE%20INCENDI.docx" TargetMode="External"/><Relationship Id="rId18" Type="http://schemas.openxmlformats.org/officeDocument/2006/relationships/hyperlink" Target="../../ATECO/Ateco%20Arte_Sport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gilfuoco.it/allegati/PI/RegoleTecnicheXAttivita/COORD_DM_18_03_1996.pdf" TargetMode="External"/><Relationship Id="rId7" Type="http://schemas.openxmlformats.org/officeDocument/2006/relationships/hyperlink" Target="https://it.wikipedia.org/wiki/Pubblico" TargetMode="External"/><Relationship Id="rId12" Type="http://schemas.openxmlformats.org/officeDocument/2006/relationships/hyperlink" Target="https://it.wikipedia.org/wiki/Ballo" TargetMode="External"/><Relationship Id="rId17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file:///C:\Walter\sportello%20unico\Progetto%20PUC\TUR\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Locale_di_pubblico_spettacolo" TargetMode="External"/><Relationship Id="rId11" Type="http://schemas.openxmlformats.org/officeDocument/2006/relationships/hyperlink" Target="https://it.wikipedia.org/wiki/Tango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://www.impresainungiorno.gov.it/web/guest/comune?codCatastale=L5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wikipedia.org/wiki/Musica" TargetMode="External"/><Relationship Id="rId19" Type="http://schemas.openxmlformats.org/officeDocument/2006/relationships/hyperlink" Target="file:///C:\Walter\sportello%20unico\Progetto%20PUC\PUC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talia_del_Nord" TargetMode="External"/><Relationship Id="rId14" Type="http://schemas.openxmlformats.org/officeDocument/2006/relationships/hyperlink" Target="../Modulistica%20univoca/MU2%20Parere%20preventivo%20pe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42</cp:revision>
  <dcterms:created xsi:type="dcterms:W3CDTF">2018-07-27T12:56:00Z</dcterms:created>
  <dcterms:modified xsi:type="dcterms:W3CDTF">2021-05-12T08:53:00Z</dcterms:modified>
</cp:coreProperties>
</file>